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96BAA" w14:textId="77777777" w:rsidR="00431463" w:rsidRDefault="00431463" w:rsidP="0043146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Livestock Ectoparasiticides</w:t>
      </w:r>
    </w:p>
    <w:p w14:paraId="6A14567C" w14:textId="77777777" w:rsidR="00431463" w:rsidRDefault="00431463" w:rsidP="0043146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Social Post Copy</w:t>
      </w:r>
    </w:p>
    <w:p w14:paraId="2946CB4F" w14:textId="77777777" w:rsidR="00431463" w:rsidRDefault="00431463" w:rsidP="00431463">
      <w:pPr>
        <w:rPr>
          <w:rFonts w:ascii="Times New Roman" w:eastAsia="Times New Roman" w:hAnsi="Times New Roman" w:cs="Times New Roman"/>
          <w:b/>
          <w:sz w:val="24"/>
          <w:szCs w:val="24"/>
        </w:rPr>
      </w:pPr>
    </w:p>
    <w:p w14:paraId="1BF25DA2" w14:textId="77777777" w:rsidR="00431463" w:rsidRDefault="00431463" w:rsidP="00431463">
      <w:pPr>
        <w:spacing w:line="240" w:lineRule="auto"/>
        <w:rPr>
          <w:rFonts w:ascii="Times New Roman" w:eastAsia="Times New Roman" w:hAnsi="Times New Roman" w:cs="Times New Roman"/>
          <w:b/>
          <w:sz w:val="24"/>
          <w:szCs w:val="24"/>
        </w:rPr>
      </w:pP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431463" w14:paraId="090A1920" w14:textId="77777777" w:rsidTr="00281F3C">
        <w:tc>
          <w:tcPr>
            <w:tcW w:w="4680" w:type="dxa"/>
            <w:shd w:val="clear" w:color="auto" w:fill="auto"/>
            <w:tcMar>
              <w:top w:w="100" w:type="dxa"/>
              <w:left w:w="100" w:type="dxa"/>
              <w:bottom w:w="100" w:type="dxa"/>
              <w:right w:w="100" w:type="dxa"/>
            </w:tcMar>
          </w:tcPr>
          <w:p w14:paraId="3BFED1B7"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Keep your herd healthy, happy, and parasite free with this killer line up of ear tags and pour-on Ectoparasiticides! Purchase in store or online at [insert link].</w:t>
            </w:r>
          </w:p>
          <w:p w14:paraId="39C0265C"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p w14:paraId="1B8C58D6" w14:textId="77777777" w:rsidR="00431463" w:rsidRDefault="00431463" w:rsidP="00281F3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#CattleProtection #ParasiteFree #MerckAnimalHealth #CattleCare</w:t>
            </w:r>
          </w:p>
        </w:tc>
        <w:tc>
          <w:tcPr>
            <w:tcW w:w="4680" w:type="dxa"/>
            <w:shd w:val="clear" w:color="auto" w:fill="auto"/>
            <w:tcMar>
              <w:top w:w="100" w:type="dxa"/>
              <w:left w:w="100" w:type="dxa"/>
              <w:bottom w:w="100" w:type="dxa"/>
              <w:right w:w="100" w:type="dxa"/>
            </w:tcMar>
          </w:tcPr>
          <w:p w14:paraId="7238D32B" w14:textId="77777777" w:rsidR="00431463" w:rsidRDefault="00431463" w:rsidP="00281F3C">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50FE112A" wp14:editId="3DE5577E">
                  <wp:extent cx="2838450" cy="1498600"/>
                  <wp:effectExtent l="0" t="0" r="0" b="0"/>
                  <wp:docPr id="3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6"/>
                          <a:srcRect/>
                          <a:stretch>
                            <a:fillRect/>
                          </a:stretch>
                        </pic:blipFill>
                        <pic:spPr>
                          <a:xfrm>
                            <a:off x="0" y="0"/>
                            <a:ext cx="2838450" cy="1498600"/>
                          </a:xfrm>
                          <a:prstGeom prst="rect">
                            <a:avLst/>
                          </a:prstGeom>
                          <a:ln/>
                        </pic:spPr>
                      </pic:pic>
                    </a:graphicData>
                  </a:graphic>
                </wp:inline>
              </w:drawing>
            </w:r>
          </w:p>
        </w:tc>
      </w:tr>
      <w:tr w:rsidR="00431463" w14:paraId="4093C757" w14:textId="77777777" w:rsidTr="00281F3C">
        <w:tc>
          <w:tcPr>
            <w:tcW w:w="4680" w:type="dxa"/>
            <w:shd w:val="clear" w:color="auto" w:fill="auto"/>
            <w:tcMar>
              <w:top w:w="100" w:type="dxa"/>
              <w:left w:w="100" w:type="dxa"/>
              <w:bottom w:w="100" w:type="dxa"/>
              <w:right w:w="100" w:type="dxa"/>
            </w:tcMar>
          </w:tcPr>
          <w:p w14:paraId="6372A7E1"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Level up your herd's external parasite protection game with these ear tags and pour-on Ectoparasiticides! Visit [insert link] to purchase now or stop by the store to purchase in person.</w:t>
            </w:r>
          </w:p>
          <w:p w14:paraId="409F58FA"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p w14:paraId="3C253A6C" w14:textId="77777777" w:rsidR="00431463" w:rsidRDefault="00431463" w:rsidP="00281F3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#CattleProtection #ParasiteFree #MerckAnimalHealth #CattleCare</w:t>
            </w:r>
          </w:p>
        </w:tc>
        <w:tc>
          <w:tcPr>
            <w:tcW w:w="4680" w:type="dxa"/>
            <w:shd w:val="clear" w:color="auto" w:fill="auto"/>
            <w:tcMar>
              <w:top w:w="100" w:type="dxa"/>
              <w:left w:w="100" w:type="dxa"/>
              <w:bottom w:w="100" w:type="dxa"/>
              <w:right w:w="100" w:type="dxa"/>
            </w:tcMar>
          </w:tcPr>
          <w:p w14:paraId="7B3F25A3" w14:textId="77777777" w:rsidR="00431463" w:rsidRDefault="00431463" w:rsidP="00281F3C">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225A5172" wp14:editId="7DF33FA1">
                  <wp:extent cx="2838450" cy="1498600"/>
                  <wp:effectExtent l="0" t="0" r="0" b="0"/>
                  <wp:docPr id="2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6"/>
                          <a:srcRect/>
                          <a:stretch>
                            <a:fillRect/>
                          </a:stretch>
                        </pic:blipFill>
                        <pic:spPr>
                          <a:xfrm>
                            <a:off x="0" y="0"/>
                            <a:ext cx="2838450" cy="1498600"/>
                          </a:xfrm>
                          <a:prstGeom prst="rect">
                            <a:avLst/>
                          </a:prstGeom>
                          <a:ln/>
                        </pic:spPr>
                      </pic:pic>
                    </a:graphicData>
                  </a:graphic>
                </wp:inline>
              </w:drawing>
            </w:r>
          </w:p>
        </w:tc>
      </w:tr>
      <w:tr w:rsidR="00431463" w14:paraId="0310F98C" w14:textId="77777777" w:rsidTr="00281F3C">
        <w:tc>
          <w:tcPr>
            <w:tcW w:w="4680" w:type="dxa"/>
            <w:shd w:val="clear" w:color="auto" w:fill="auto"/>
            <w:tcMar>
              <w:top w:w="100" w:type="dxa"/>
              <w:left w:w="100" w:type="dxa"/>
              <w:bottom w:w="100" w:type="dxa"/>
              <w:right w:w="100" w:type="dxa"/>
            </w:tcMar>
          </w:tcPr>
          <w:p w14:paraId="00532874"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Shield your cattle from harmful external parasites! Lice, flies, ticks, grubs, and mites can transmit diseases such as pinkeye and anaplasmosis. Protect your herd by shopping Ectoparasiticides in store or online at [insert link]</w:t>
            </w:r>
          </w:p>
          <w:p w14:paraId="1143A76F"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p w14:paraId="6B7B1721" w14:textId="77777777" w:rsidR="00431463" w:rsidRDefault="00431463" w:rsidP="00281F3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#CattleProtection #ParasiteFree #MerckAnimalHealth #CattleCare</w:t>
            </w:r>
          </w:p>
        </w:tc>
        <w:tc>
          <w:tcPr>
            <w:tcW w:w="4680" w:type="dxa"/>
            <w:shd w:val="clear" w:color="auto" w:fill="auto"/>
            <w:tcMar>
              <w:top w:w="100" w:type="dxa"/>
              <w:left w:w="100" w:type="dxa"/>
              <w:bottom w:w="100" w:type="dxa"/>
              <w:right w:w="100" w:type="dxa"/>
            </w:tcMar>
          </w:tcPr>
          <w:p w14:paraId="6C3331F8" w14:textId="77777777" w:rsidR="00431463" w:rsidRDefault="00431463" w:rsidP="00281F3C">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77DCECAF" wp14:editId="7170F6AC">
                  <wp:extent cx="2838450" cy="1498600"/>
                  <wp:effectExtent l="0" t="0" r="0" b="0"/>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6"/>
                          <a:srcRect/>
                          <a:stretch>
                            <a:fillRect/>
                          </a:stretch>
                        </pic:blipFill>
                        <pic:spPr>
                          <a:xfrm>
                            <a:off x="0" y="0"/>
                            <a:ext cx="2838450" cy="1498600"/>
                          </a:xfrm>
                          <a:prstGeom prst="rect">
                            <a:avLst/>
                          </a:prstGeom>
                          <a:ln/>
                        </pic:spPr>
                      </pic:pic>
                    </a:graphicData>
                  </a:graphic>
                </wp:inline>
              </w:drawing>
            </w:r>
          </w:p>
        </w:tc>
      </w:tr>
      <w:tr w:rsidR="00431463" w14:paraId="4C62615C" w14:textId="77777777" w:rsidTr="00281F3C">
        <w:tc>
          <w:tcPr>
            <w:tcW w:w="4680" w:type="dxa"/>
            <w:shd w:val="clear" w:color="auto" w:fill="auto"/>
            <w:tcMar>
              <w:top w:w="100" w:type="dxa"/>
              <w:left w:w="100" w:type="dxa"/>
              <w:bottom w:w="100" w:type="dxa"/>
              <w:right w:w="100" w:type="dxa"/>
            </w:tcMar>
          </w:tcPr>
          <w:p w14:paraId="3D422C7A"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Unlock the key to healthy, productive, and comfortable cattle with the perfect Ectoparasiticide! Shield your operation from economic losses and prioritize the well-being of your livestock by purchasing Ectoparasiticides in store or online at [insert link]</w:t>
            </w:r>
          </w:p>
          <w:p w14:paraId="2EB11C24" w14:textId="77777777" w:rsidR="00431463" w:rsidRDefault="00431463" w:rsidP="00281F3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p w14:paraId="5B91570F" w14:textId="77777777" w:rsidR="00431463" w:rsidRDefault="00431463" w:rsidP="00281F3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#CattleProtection #ParasiteFree #MerckAnimalHealth #CattleCare</w:t>
            </w:r>
          </w:p>
        </w:tc>
        <w:tc>
          <w:tcPr>
            <w:tcW w:w="4680" w:type="dxa"/>
            <w:shd w:val="clear" w:color="auto" w:fill="auto"/>
            <w:tcMar>
              <w:top w:w="100" w:type="dxa"/>
              <w:left w:w="100" w:type="dxa"/>
              <w:bottom w:w="100" w:type="dxa"/>
              <w:right w:w="100" w:type="dxa"/>
            </w:tcMar>
          </w:tcPr>
          <w:p w14:paraId="71C5CD50" w14:textId="77777777" w:rsidR="00431463" w:rsidRDefault="00431463" w:rsidP="00281F3C">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15B4237E" wp14:editId="3AC247C1">
                  <wp:extent cx="2838450" cy="1498600"/>
                  <wp:effectExtent l="0" t="0" r="0" b="0"/>
                  <wp:docPr id="1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6"/>
                          <a:srcRect/>
                          <a:stretch>
                            <a:fillRect/>
                          </a:stretch>
                        </pic:blipFill>
                        <pic:spPr>
                          <a:xfrm>
                            <a:off x="0" y="0"/>
                            <a:ext cx="2838450" cy="1498600"/>
                          </a:xfrm>
                          <a:prstGeom prst="rect">
                            <a:avLst/>
                          </a:prstGeom>
                          <a:ln/>
                        </pic:spPr>
                      </pic:pic>
                    </a:graphicData>
                  </a:graphic>
                </wp:inline>
              </w:drawing>
            </w:r>
          </w:p>
        </w:tc>
      </w:tr>
    </w:tbl>
    <w:p w14:paraId="753DE474" w14:textId="77777777" w:rsidR="00431463" w:rsidRDefault="00431463" w:rsidP="00431463">
      <w:pPr>
        <w:spacing w:line="240" w:lineRule="auto"/>
        <w:rPr>
          <w:rFonts w:ascii="Times New Roman" w:eastAsia="Times New Roman" w:hAnsi="Times New Roman" w:cs="Times New Roman"/>
          <w:b/>
          <w:sz w:val="24"/>
          <w:szCs w:val="24"/>
        </w:rPr>
      </w:pPr>
    </w:p>
    <w:p w14:paraId="627234C5" w14:textId="77777777" w:rsidR="00431463" w:rsidRDefault="00431463" w:rsidP="00431463">
      <w:pPr>
        <w:spacing w:line="240" w:lineRule="auto"/>
        <w:rPr>
          <w:rFonts w:ascii="Times New Roman" w:eastAsia="Times New Roman" w:hAnsi="Times New Roman" w:cs="Times New Roman"/>
          <w:b/>
          <w:sz w:val="24"/>
          <w:szCs w:val="24"/>
        </w:rPr>
      </w:pPr>
    </w:p>
    <w:p w14:paraId="525F4281" w14:textId="77777777" w:rsidR="00431463" w:rsidRDefault="00431463" w:rsidP="00431463">
      <w:pPr>
        <w:jc w:val="center"/>
        <w:rPr>
          <w:rFonts w:cstheme="minorHAnsi"/>
          <w:color w:val="211D1E"/>
          <w:sz w:val="16"/>
          <w:szCs w:val="16"/>
        </w:rPr>
      </w:pPr>
    </w:p>
    <w:p w14:paraId="2B874002" w14:textId="77777777" w:rsidR="00431463" w:rsidRDefault="00431463" w:rsidP="00431463">
      <w:pPr>
        <w:jc w:val="center"/>
        <w:rPr>
          <w:rFonts w:cstheme="minorHAnsi"/>
          <w:color w:val="211D1E"/>
          <w:sz w:val="16"/>
          <w:szCs w:val="16"/>
        </w:rPr>
      </w:pPr>
    </w:p>
    <w:p w14:paraId="7EAF4AD7" w14:textId="77777777" w:rsidR="00431463" w:rsidRDefault="00431463" w:rsidP="00431463">
      <w:pPr>
        <w:jc w:val="center"/>
        <w:rPr>
          <w:rFonts w:cstheme="minorHAnsi"/>
          <w:color w:val="211D1E"/>
          <w:sz w:val="16"/>
          <w:szCs w:val="16"/>
        </w:rPr>
      </w:pPr>
    </w:p>
    <w:p w14:paraId="25D70A33" w14:textId="77777777" w:rsidR="00431463" w:rsidRDefault="00431463" w:rsidP="00431463">
      <w:pPr>
        <w:jc w:val="center"/>
        <w:rPr>
          <w:rFonts w:cstheme="minorHAnsi"/>
          <w:color w:val="211D1E"/>
          <w:sz w:val="16"/>
          <w:szCs w:val="16"/>
        </w:rPr>
      </w:pPr>
    </w:p>
    <w:p w14:paraId="45AF162D" w14:textId="77777777" w:rsidR="00431463" w:rsidRDefault="00431463" w:rsidP="00431463">
      <w:pPr>
        <w:jc w:val="center"/>
        <w:rPr>
          <w:rFonts w:cstheme="minorHAnsi"/>
          <w:color w:val="211D1E"/>
          <w:sz w:val="16"/>
          <w:szCs w:val="16"/>
        </w:rPr>
      </w:pPr>
    </w:p>
    <w:p w14:paraId="52B13843" w14:textId="1EC7224A" w:rsidR="00041B01" w:rsidRDefault="00431463" w:rsidP="00431463">
      <w:pPr>
        <w:jc w:val="center"/>
        <w:rPr>
          <w:rFonts w:ascii="Times New Roman" w:eastAsia="Times New Roman" w:hAnsi="Times New Roman" w:cs="Times New Roman"/>
          <w:b/>
          <w:sz w:val="24"/>
          <w:szCs w:val="24"/>
        </w:rPr>
      </w:pPr>
      <w:r w:rsidRPr="00E60AB2">
        <w:rPr>
          <w:rFonts w:cstheme="minorHAnsi"/>
          <w:color w:val="211D1E"/>
          <w:sz w:val="16"/>
          <w:szCs w:val="16"/>
        </w:rPr>
        <w:t xml:space="preserve">Copyright © 2023 Merck &amp; Co., Inc., Rahway, NJ, </w:t>
      </w:r>
      <w:proofErr w:type="gramStart"/>
      <w:r w:rsidRPr="00E60AB2">
        <w:rPr>
          <w:rFonts w:cstheme="minorHAnsi"/>
          <w:color w:val="211D1E"/>
          <w:sz w:val="16"/>
          <w:szCs w:val="16"/>
        </w:rPr>
        <w:t>USA</w:t>
      </w:r>
      <w:proofErr w:type="gramEnd"/>
      <w:r w:rsidRPr="00E60AB2">
        <w:rPr>
          <w:rFonts w:cstheme="minorHAnsi"/>
          <w:color w:val="211D1E"/>
          <w:sz w:val="16"/>
          <w:szCs w:val="16"/>
        </w:rPr>
        <w:t xml:space="preserve"> and its affiliates. All rights reserved</w:t>
      </w:r>
    </w:p>
    <w:sectPr w:rsidR="00041B01" w:rsidSect="00E60AB2">
      <w:headerReference w:type="default" r:id="rId7"/>
      <w:pgSz w:w="12240" w:h="15840"/>
      <w:pgMar w:top="1152"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7B6B" w14:textId="77777777" w:rsidR="00F42BB3" w:rsidRDefault="00F42BB3" w:rsidP="00F42BB3">
      <w:pPr>
        <w:spacing w:line="240" w:lineRule="auto"/>
      </w:pPr>
      <w:r>
        <w:separator/>
      </w:r>
    </w:p>
  </w:endnote>
  <w:endnote w:type="continuationSeparator" w:id="0">
    <w:p w14:paraId="6A892615" w14:textId="77777777" w:rsidR="00F42BB3" w:rsidRDefault="00F42BB3" w:rsidP="00F42B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DACDF" w14:textId="77777777" w:rsidR="00F42BB3" w:rsidRDefault="00F42BB3" w:rsidP="00F42BB3">
      <w:pPr>
        <w:spacing w:line="240" w:lineRule="auto"/>
      </w:pPr>
      <w:r>
        <w:separator/>
      </w:r>
    </w:p>
  </w:footnote>
  <w:footnote w:type="continuationSeparator" w:id="0">
    <w:p w14:paraId="0A154C9E" w14:textId="77777777" w:rsidR="00F42BB3" w:rsidRDefault="00F42BB3" w:rsidP="00F42B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6DF5" w14:textId="5B412244" w:rsidR="00CA50DB" w:rsidRDefault="00CA50DB">
    <w:pPr>
      <w:pStyle w:val="Header"/>
    </w:pPr>
    <w:r>
      <w:rPr>
        <w:noProof/>
      </w:rPr>
      <mc:AlternateContent>
        <mc:Choice Requires="wps">
          <w:drawing>
            <wp:anchor distT="0" distB="0" distL="114300" distR="114300" simplePos="0" relativeHeight="251659264" behindDoc="0" locked="0" layoutInCell="0" allowOverlap="1" wp14:anchorId="6CCC6716" wp14:editId="0235B3F2">
              <wp:simplePos x="0" y="0"/>
              <wp:positionH relativeFrom="page">
                <wp:posOffset>0</wp:posOffset>
              </wp:positionH>
              <wp:positionV relativeFrom="page">
                <wp:posOffset>190500</wp:posOffset>
              </wp:positionV>
              <wp:extent cx="7772400" cy="273050"/>
              <wp:effectExtent l="0" t="0" r="0" b="12700"/>
              <wp:wrapNone/>
              <wp:docPr id="1" name="MSIPCM53a04a75a6ad550dbaa6b486" descr="{&quot;HashCode&quot;:-1589026337,&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E5CB98" w14:textId="1532F23E" w:rsidR="00CA50DB" w:rsidRPr="00CA50DB" w:rsidRDefault="00CA50DB" w:rsidP="00CA50DB">
                          <w:pPr>
                            <w:rPr>
                              <w:rFonts w:ascii="Calibri" w:hAnsi="Calibri" w:cs="Calibri"/>
                              <w:color w:val="03C03C"/>
                              <w:sz w:val="24"/>
                            </w:rPr>
                          </w:pPr>
                          <w:r w:rsidRPr="00CA50DB">
                            <w:rPr>
                              <w:rFonts w:ascii="Calibri" w:hAnsi="Calibri" w:cs="Calibri"/>
                              <w:color w:val="03C03C"/>
                              <w:sz w:val="24"/>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6CCC6716" id="_x0000_t202" coordsize="21600,21600" o:spt="202" path="m,l,21600r21600,l21600,xe">
              <v:stroke joinstyle="miter"/>
              <v:path gradientshapeok="t" o:connecttype="rect"/>
            </v:shapetype>
            <v:shape id="MSIPCM53a04a75a6ad550dbaa6b486" o:spid="_x0000_s1026" type="#_x0000_t202" alt="{&quot;HashCode&quot;:-1589026337,&quot;Height&quot;:792.0,&quot;Width&quot;:612.0,&quot;Placement&quot;:&quot;Header&quot;,&quot;Index&quot;:&quot;Primary&quot;,&quot;Section&quot;:1,&quot;Top&quot;:0.0,&quot;Left&quot;:0.0}" style="position:absolute;margin-left:0;margin-top:1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YJI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" o:allowincell="f" filled="f" stroked="f" strokeweight=".5pt">
              <v:textbox inset="20pt,0,,0">
                <w:txbxContent>
                  <w:p w14:paraId="6FE5CB98" w14:textId="1532F23E" w:rsidR="00CA50DB" w:rsidRPr="00CA50DB" w:rsidRDefault="00CA50DB" w:rsidP="00CA50DB">
                    <w:pPr>
                      <w:rPr>
                        <w:rFonts w:ascii="Calibri" w:hAnsi="Calibri" w:cs="Calibri"/>
                        <w:color w:val="03C03C"/>
                        <w:sz w:val="24"/>
                      </w:rPr>
                    </w:pPr>
                    <w:r w:rsidRPr="00CA50DB">
                      <w:rPr>
                        <w:rFonts w:ascii="Calibri" w:hAnsi="Calibri" w:cs="Calibri"/>
                        <w:color w:val="03C03C"/>
                        <w:sz w:val="24"/>
                      </w:rPr>
                      <w:t>Public</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B01"/>
    <w:rsid w:val="00041B01"/>
    <w:rsid w:val="002B2D3B"/>
    <w:rsid w:val="002D3EB0"/>
    <w:rsid w:val="00431463"/>
    <w:rsid w:val="00604336"/>
    <w:rsid w:val="00624D4D"/>
    <w:rsid w:val="00877760"/>
    <w:rsid w:val="009278A2"/>
    <w:rsid w:val="009A2A8D"/>
    <w:rsid w:val="00BE734E"/>
    <w:rsid w:val="00CA42CC"/>
    <w:rsid w:val="00CA50DB"/>
    <w:rsid w:val="00CA7DB7"/>
    <w:rsid w:val="00CE681F"/>
    <w:rsid w:val="00E53C4D"/>
    <w:rsid w:val="00E60AB2"/>
    <w:rsid w:val="00F42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13664"/>
  <w15:docId w15:val="{53C2647F-4FAA-492D-AC89-9E1E8FE0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A50DB"/>
    <w:pPr>
      <w:tabs>
        <w:tab w:val="center" w:pos="4680"/>
        <w:tab w:val="right" w:pos="9360"/>
      </w:tabs>
      <w:spacing w:line="240" w:lineRule="auto"/>
    </w:pPr>
  </w:style>
  <w:style w:type="character" w:customStyle="1" w:styleId="HeaderChar">
    <w:name w:val="Header Char"/>
    <w:basedOn w:val="DefaultParagraphFont"/>
    <w:link w:val="Header"/>
    <w:uiPriority w:val="99"/>
    <w:rsid w:val="00CA50DB"/>
  </w:style>
  <w:style w:type="paragraph" w:styleId="Footer">
    <w:name w:val="footer"/>
    <w:basedOn w:val="Normal"/>
    <w:link w:val="FooterChar"/>
    <w:uiPriority w:val="99"/>
    <w:unhideWhenUsed/>
    <w:rsid w:val="00CA50DB"/>
    <w:pPr>
      <w:tabs>
        <w:tab w:val="center" w:pos="4680"/>
        <w:tab w:val="right" w:pos="9360"/>
      </w:tabs>
      <w:spacing w:line="240" w:lineRule="auto"/>
    </w:pPr>
  </w:style>
  <w:style w:type="character" w:customStyle="1" w:styleId="FooterChar">
    <w:name w:val="Footer Char"/>
    <w:basedOn w:val="DefaultParagraphFont"/>
    <w:link w:val="Footer"/>
    <w:uiPriority w:val="99"/>
    <w:rsid w:val="00CA5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Slawson, Jamie A.</dc:creator>
  <cp:lastModifiedBy>Slawson, Jamie A.</cp:lastModifiedBy>
  <cp:revision>3</cp:revision>
  <dcterms:created xsi:type="dcterms:W3CDTF">2023-07-12T17:09:00Z</dcterms:created>
  <dcterms:modified xsi:type="dcterms:W3CDTF">2023-07-12T17:10:00Z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4a5f65-4bbe-4bbe-bb66-e23e35795661_Enabled">
    <vt:lpwstr>true</vt:lpwstr>
  </property>
  <property fmtid="{D5CDD505-2E9C-101B-9397-08002B2CF9AE}" pid="3" name="MSIP_Label_794a5f65-4bbe-4bbe-bb66-e23e35795661_SetDate">
    <vt:lpwstr>2023-07-12T15:19:40Z</vt:lpwstr>
  </property>
  <property fmtid="{D5CDD505-2E9C-101B-9397-08002B2CF9AE}" pid="4" name="MSIP_Label_794a5f65-4bbe-4bbe-bb66-e23e35795661_Method">
    <vt:lpwstr>Privileged</vt:lpwstr>
  </property>
  <property fmtid="{D5CDD505-2E9C-101B-9397-08002B2CF9AE}" pid="5" name="MSIP_Label_794a5f65-4bbe-4bbe-bb66-e23e35795661_Name">
    <vt:lpwstr>794a5f65-4bbe-4bbe-bb66-e23e35795661</vt:lpwstr>
  </property>
  <property fmtid="{D5CDD505-2E9C-101B-9397-08002B2CF9AE}" pid="6" name="MSIP_Label_794a5f65-4bbe-4bbe-bb66-e23e35795661_SiteId">
    <vt:lpwstr>a00de4ec-48a8-43a6-be74-e31274e2060d</vt:lpwstr>
  </property>
  <property fmtid="{D5CDD505-2E9C-101B-9397-08002B2CF9AE}" pid="7" name="MSIP_Label_794a5f65-4bbe-4bbe-bb66-e23e35795661_ActionId">
    <vt:lpwstr>2ed5294e-e4ae-4b0b-b388-cd2dc8d3192b</vt:lpwstr>
  </property>
  <property fmtid="{D5CDD505-2E9C-101B-9397-08002B2CF9AE}" pid="8" name="MSIP_Label_794a5f65-4bbe-4bbe-bb66-e23e35795661_ContentBits">
    <vt:lpwstr>1</vt:lpwstr>
  </property>
  <property fmtid="{D5CDD505-2E9C-101B-9397-08002B2CF9AE}" pid="9" name="MerckAIPLabel">
    <vt:lpwstr>Public</vt:lpwstr>
  </property>
  <property fmtid="{D5CDD505-2E9C-101B-9397-08002B2CF9AE}" pid="10" name="MerckAIPDataExchange">
    <vt:lpwstr>!MRKMIP@Public</vt:lpwstr>
  </property>
</Properties>
</file>